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A53" w:rsidRPr="00176A53" w:rsidRDefault="00176A53" w:rsidP="00176A53">
      <w:pPr>
        <w:pStyle w:val="Default"/>
      </w:pPr>
    </w:p>
    <w:p w:rsidR="00176A53" w:rsidRPr="00176A53" w:rsidRDefault="00176A53" w:rsidP="00176A53">
      <w:pPr>
        <w:pStyle w:val="Default"/>
      </w:pPr>
      <w:r w:rsidRPr="00176A53">
        <w:t xml:space="preserve"> </w:t>
      </w:r>
      <w:r w:rsidRPr="00176A53">
        <w:rPr>
          <w:b/>
          <w:bCs/>
        </w:rPr>
        <w:t xml:space="preserve">Procedura recenzowania artykułów dla czasopisma „Inskrypcje. </w:t>
      </w:r>
      <w:proofErr w:type="spellStart"/>
      <w:r w:rsidRPr="00176A53">
        <w:rPr>
          <w:b/>
          <w:bCs/>
        </w:rPr>
        <w:t>Półrocznik</w:t>
      </w:r>
      <w:proofErr w:type="spellEnd"/>
      <w:r w:rsidRPr="00176A53">
        <w:rPr>
          <w:b/>
          <w:bCs/>
        </w:rPr>
        <w:t>”</w:t>
      </w:r>
      <w:r>
        <w:rPr>
          <w:b/>
          <w:bCs/>
        </w:rPr>
        <w:t xml:space="preserve"> (</w:t>
      </w:r>
      <w:proofErr w:type="spellStart"/>
      <w:r>
        <w:rPr>
          <w:b/>
          <w:bCs/>
        </w:rPr>
        <w:t>Inscriptions</w:t>
      </w:r>
      <w:proofErr w:type="spellEnd"/>
      <w:r>
        <w:rPr>
          <w:b/>
          <w:bCs/>
        </w:rPr>
        <w:t>)</w:t>
      </w:r>
      <w:r w:rsidRPr="00176A53">
        <w:rPr>
          <w:b/>
          <w:bCs/>
        </w:rPr>
        <w:t xml:space="preserve"> </w:t>
      </w:r>
    </w:p>
    <w:p w:rsidR="00176A53" w:rsidRPr="00176A53" w:rsidRDefault="00176A53" w:rsidP="00176A53">
      <w:pPr>
        <w:pStyle w:val="Default"/>
        <w:rPr>
          <w:b/>
          <w:bCs/>
        </w:rPr>
      </w:pPr>
    </w:p>
    <w:p w:rsidR="00176A53" w:rsidRPr="00176A53" w:rsidRDefault="00176A53" w:rsidP="00176A53">
      <w:pPr>
        <w:pStyle w:val="Default"/>
      </w:pPr>
      <w:r w:rsidRPr="00176A53">
        <w:rPr>
          <w:b/>
          <w:bCs/>
        </w:rPr>
        <w:t xml:space="preserve">I. Uwagi wstępne </w:t>
      </w:r>
    </w:p>
    <w:p w:rsidR="00176A53" w:rsidRPr="00176A53" w:rsidRDefault="00176A53" w:rsidP="00176A53">
      <w:pPr>
        <w:pStyle w:val="Default"/>
      </w:pPr>
    </w:p>
    <w:p w:rsidR="00176A53" w:rsidRDefault="00176A53" w:rsidP="00176A53">
      <w:pPr>
        <w:pStyle w:val="Default"/>
        <w:spacing w:after="58"/>
      </w:pPr>
      <w:r>
        <w:t xml:space="preserve">1. </w:t>
      </w:r>
      <w:r w:rsidRPr="00176A53">
        <w:t xml:space="preserve">Redakcja czasopisma naukowego „Inskrypcje. </w:t>
      </w:r>
      <w:proofErr w:type="spellStart"/>
      <w:r w:rsidRPr="00176A53">
        <w:t>Półrocznik</w:t>
      </w:r>
      <w:proofErr w:type="spellEnd"/>
      <w:r w:rsidRPr="00176A53">
        <w:t>” dba o właściwą procedurę postępowania recenzyjnego czasopisma, biorąc pod uwagę wskazania zawarte w dokumencie</w:t>
      </w:r>
      <w:r>
        <w:t xml:space="preserve"> </w:t>
      </w:r>
      <w:r>
        <w:rPr>
          <w:rStyle w:val="Pogrubienie"/>
          <w:color w:val="800000"/>
        </w:rPr>
        <w:t xml:space="preserve">– </w:t>
      </w:r>
      <w:hyperlink r:id="rId5" w:tooltip="Full set of Polish flowcharts" w:history="1">
        <w:r>
          <w:rPr>
            <w:rStyle w:val="Hipercze"/>
            <w:b/>
            <w:bCs/>
            <w:color w:val="800000"/>
          </w:rPr>
          <w:t>COPE (Committee on Publication Ethics)</w:t>
        </w:r>
      </w:hyperlink>
      <w:r>
        <w:rPr>
          <w:rStyle w:val="Pogrubienie"/>
          <w:color w:val="800000"/>
        </w:rPr>
        <w:t xml:space="preserve"> </w:t>
      </w:r>
      <w:r w:rsidRPr="00176A53">
        <w:rPr>
          <w:rStyle w:val="Pogrubienie"/>
          <w:color w:val="800000"/>
        </w:rPr>
        <w:t>https://publicationethics.org/</w:t>
      </w:r>
    </w:p>
    <w:p w:rsidR="00176A53" w:rsidRPr="00176A53" w:rsidRDefault="00176A53" w:rsidP="00176A53">
      <w:pPr>
        <w:pStyle w:val="Default"/>
      </w:pPr>
      <w:r w:rsidRPr="00176A53">
        <w:t xml:space="preserve">2. Recenzji podlegają wszystkie nadesłane materiały (artykuły naukowe, szkice, recenzje, noty, sprawozdania). </w:t>
      </w:r>
    </w:p>
    <w:p w:rsidR="00176A53" w:rsidRPr="00176A53" w:rsidRDefault="00176A53" w:rsidP="00176A53">
      <w:pPr>
        <w:pStyle w:val="Default"/>
      </w:pPr>
    </w:p>
    <w:p w:rsidR="00176A53" w:rsidRPr="00176A53" w:rsidRDefault="00176A53" w:rsidP="00176A53">
      <w:pPr>
        <w:pStyle w:val="Default"/>
      </w:pPr>
      <w:r w:rsidRPr="00176A53">
        <w:rPr>
          <w:b/>
          <w:bCs/>
        </w:rPr>
        <w:t xml:space="preserve">II. Wybór recenzentów </w:t>
      </w:r>
    </w:p>
    <w:p w:rsidR="00176A53" w:rsidRPr="00176A53" w:rsidRDefault="00176A53" w:rsidP="00176A53">
      <w:pPr>
        <w:pStyle w:val="Default"/>
      </w:pPr>
    </w:p>
    <w:p w:rsidR="00176A53" w:rsidRPr="00176A53" w:rsidRDefault="00176A53" w:rsidP="00176A53">
      <w:pPr>
        <w:pStyle w:val="Default"/>
        <w:spacing w:after="58"/>
      </w:pPr>
      <w:r w:rsidRPr="00176A53">
        <w:t>1. Wybór recenzenta uzależnion</w:t>
      </w:r>
      <w:r>
        <w:t xml:space="preserve">y jest od dyscypliny naukowej oraz </w:t>
      </w:r>
      <w:r w:rsidRPr="00176A53">
        <w:t xml:space="preserve">kompetencji </w:t>
      </w:r>
      <w:r>
        <w:t xml:space="preserve">naukowych </w:t>
      </w:r>
      <w:r w:rsidRPr="00176A53">
        <w:t xml:space="preserve">danego recenzenta. </w:t>
      </w:r>
    </w:p>
    <w:p w:rsidR="00176A53" w:rsidRPr="00176A53" w:rsidRDefault="00176A53" w:rsidP="00176A53">
      <w:pPr>
        <w:pStyle w:val="Default"/>
      </w:pPr>
      <w:r w:rsidRPr="00176A53">
        <w:t xml:space="preserve">2. W przypadku artykułów obcojęzycznych, recenzenci dobierani są również spoza Polski. </w:t>
      </w:r>
    </w:p>
    <w:p w:rsidR="00176A53" w:rsidRPr="00176A53" w:rsidRDefault="00176A53" w:rsidP="00176A53">
      <w:pPr>
        <w:pStyle w:val="Default"/>
      </w:pPr>
    </w:p>
    <w:p w:rsidR="00176A53" w:rsidRPr="00176A53" w:rsidRDefault="00176A53" w:rsidP="00176A53">
      <w:pPr>
        <w:pStyle w:val="Default"/>
      </w:pPr>
      <w:r w:rsidRPr="00176A53">
        <w:rPr>
          <w:b/>
          <w:bCs/>
        </w:rPr>
        <w:t xml:space="preserve">III. Umowy o przygotowanie recenzji </w:t>
      </w:r>
    </w:p>
    <w:p w:rsidR="00176A53" w:rsidRPr="00176A53" w:rsidRDefault="00176A53" w:rsidP="00176A53">
      <w:pPr>
        <w:pStyle w:val="Default"/>
      </w:pPr>
    </w:p>
    <w:p w:rsidR="00176A53" w:rsidRPr="00176A53" w:rsidRDefault="00176A53" w:rsidP="00176A53">
      <w:pPr>
        <w:pStyle w:val="Default"/>
        <w:spacing w:after="58"/>
      </w:pPr>
      <w:r w:rsidRPr="00176A53">
        <w:t xml:space="preserve">1. Wydawca czasopisma zawiera umowę o dzieło z recenzentami. </w:t>
      </w:r>
    </w:p>
    <w:p w:rsidR="00176A53" w:rsidRPr="00176A53" w:rsidRDefault="00176A53" w:rsidP="00176A53">
      <w:pPr>
        <w:pStyle w:val="Default"/>
        <w:spacing w:after="58"/>
      </w:pPr>
      <w:r w:rsidRPr="00176A53">
        <w:t xml:space="preserve">2. Recenzja powstaje w oparciu o ankietę recenzyjną, dostępną na stronie https://ikribl.wordpress.com/inskrypcje/ </w:t>
      </w:r>
    </w:p>
    <w:p w:rsidR="00176A53" w:rsidRPr="00176A53" w:rsidRDefault="00176A53" w:rsidP="00176A53">
      <w:pPr>
        <w:pStyle w:val="Default"/>
      </w:pPr>
      <w:r w:rsidRPr="00176A53">
        <w:t>3. Recenzent otrzymuje wyna</w:t>
      </w:r>
      <w:r w:rsidR="00DC11F2">
        <w:t>grodzenie za sporządzenie recenzji</w:t>
      </w:r>
      <w:r w:rsidRPr="00176A53">
        <w:t xml:space="preserve">. Kwota wynagrodzenia jest każdorazowo ustalana z osobą recenzującą. </w:t>
      </w:r>
    </w:p>
    <w:p w:rsidR="00176A53" w:rsidRPr="00176A53" w:rsidRDefault="00176A53" w:rsidP="00176A53">
      <w:pPr>
        <w:pStyle w:val="Default"/>
      </w:pPr>
    </w:p>
    <w:p w:rsidR="00176A53" w:rsidRPr="00176A53" w:rsidRDefault="00176A53" w:rsidP="00176A53">
      <w:pPr>
        <w:pStyle w:val="Default"/>
      </w:pPr>
      <w:r w:rsidRPr="00176A53">
        <w:rPr>
          <w:b/>
          <w:bCs/>
        </w:rPr>
        <w:t xml:space="preserve">IV. Zasady procedury recenzyjnej </w:t>
      </w:r>
    </w:p>
    <w:p w:rsidR="00176A53" w:rsidRPr="00176A53" w:rsidRDefault="00176A53" w:rsidP="00176A53">
      <w:pPr>
        <w:pStyle w:val="Default"/>
      </w:pPr>
    </w:p>
    <w:p w:rsidR="00176A53" w:rsidRPr="00176A53" w:rsidRDefault="00176A53" w:rsidP="00176A53">
      <w:pPr>
        <w:pStyle w:val="Default"/>
        <w:spacing w:after="56"/>
      </w:pPr>
      <w:r w:rsidRPr="00176A53">
        <w:t xml:space="preserve">1. Redakcja szczególnie dba o rzetelność , anonimowość oraz obiektywność w trakcie procedury recenzyjnej. </w:t>
      </w:r>
    </w:p>
    <w:p w:rsidR="00176A53" w:rsidRPr="00176A53" w:rsidRDefault="00176A53" w:rsidP="00176A53">
      <w:pPr>
        <w:pStyle w:val="Default"/>
        <w:spacing w:after="56"/>
      </w:pPr>
      <w:r w:rsidRPr="00176A53">
        <w:t xml:space="preserve">2. Autor przesyła na adres redakcji artykuł w formie elektronicznej. Decyzję o skierowaniu tekstu do recenzji podejmuje kolegium redakcyjne. </w:t>
      </w:r>
    </w:p>
    <w:p w:rsidR="00176A53" w:rsidRPr="00176A53" w:rsidRDefault="00176A53" w:rsidP="00176A53">
      <w:pPr>
        <w:pStyle w:val="Default"/>
        <w:spacing w:after="56"/>
      </w:pPr>
      <w:r w:rsidRPr="00176A53">
        <w:t xml:space="preserve">3. W przypadku recenzji negatywnych artykuł nie jest przyjęty do druku. </w:t>
      </w:r>
    </w:p>
    <w:p w:rsidR="00176A53" w:rsidRPr="00176A53" w:rsidRDefault="00176A53" w:rsidP="00176A53">
      <w:pPr>
        <w:pStyle w:val="Default"/>
      </w:pPr>
      <w:r w:rsidRPr="00176A53">
        <w:t xml:space="preserve">4. Redakcja stosuje się do uwag recenzenta, dbając o to, by autor uwzględnił w artykule zalecane poprawki. </w:t>
      </w:r>
    </w:p>
    <w:p w:rsidR="00176A53" w:rsidRPr="00176A53" w:rsidRDefault="00176A53" w:rsidP="00176A53">
      <w:pPr>
        <w:pStyle w:val="Default"/>
      </w:pPr>
    </w:p>
    <w:p w:rsidR="00176A53" w:rsidRPr="00176A53" w:rsidRDefault="00176A53" w:rsidP="00176A53">
      <w:pPr>
        <w:pStyle w:val="Default"/>
      </w:pPr>
      <w:r w:rsidRPr="00176A53">
        <w:rPr>
          <w:b/>
          <w:bCs/>
        </w:rPr>
        <w:t xml:space="preserve">V. Uwagi końcowe </w:t>
      </w:r>
    </w:p>
    <w:p w:rsidR="00176A53" w:rsidRPr="00176A53" w:rsidRDefault="00176A53" w:rsidP="00176A53">
      <w:pPr>
        <w:pStyle w:val="Default"/>
      </w:pPr>
    </w:p>
    <w:p w:rsidR="000A7177" w:rsidRPr="00DC11F2" w:rsidRDefault="00DC11F2" w:rsidP="00DC11F2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176A53" w:rsidRPr="00DC11F2">
        <w:rPr>
          <w:sz w:val="24"/>
          <w:szCs w:val="24"/>
        </w:rPr>
        <w:t>Redakcja nie zwraca tekstów, które nie zostały zamówione. Autorzy decydujący na opublikowanie swych prac w „Inskrypcjach” proszeni są o załączenie oświadczenia, iż nie zostały one wcześniej opublikowane i nie są przewidziane do druku w innych wydawnictwach.</w:t>
      </w:r>
    </w:p>
    <w:sectPr w:rsidR="000A7177" w:rsidRPr="00DC11F2" w:rsidSect="000A71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07730"/>
    <w:multiLevelType w:val="hybridMultilevel"/>
    <w:tmpl w:val="7E16B6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C83F2F"/>
    <w:multiLevelType w:val="hybridMultilevel"/>
    <w:tmpl w:val="BDFE4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176A53"/>
    <w:rsid w:val="000A7177"/>
    <w:rsid w:val="00176A53"/>
    <w:rsid w:val="00DC11F2"/>
    <w:rsid w:val="00F523B0"/>
    <w:rsid w:val="00F95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71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76A5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176A53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176A5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C11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kribl.files.wordpress.com/2018/10/full-set-of-polish-flowchart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271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2019-07-31T15:48:00Z</dcterms:created>
  <dcterms:modified xsi:type="dcterms:W3CDTF">2019-07-31T15:54:00Z</dcterms:modified>
</cp:coreProperties>
</file>